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B01DC" w14:textId="77777777" w:rsid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b/>
          <w:sz w:val="22"/>
          <w:szCs w:val="22"/>
          <w:bdr w:val="none" w:sz="0" w:space="0" w:color="auto"/>
        </w:rPr>
      </w:pPr>
    </w:p>
    <w:p w14:paraId="57F11D81" w14:textId="02E0F451"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b/>
          <w:sz w:val="22"/>
          <w:szCs w:val="22"/>
          <w:bdr w:val="none" w:sz="0" w:space="0" w:color="auto"/>
        </w:rPr>
      </w:pPr>
      <w:r w:rsidRPr="00040E04">
        <w:rPr>
          <w:rFonts w:ascii="Calibri" w:eastAsia="Calibri" w:hAnsi="Calibri"/>
          <w:b/>
          <w:sz w:val="22"/>
          <w:szCs w:val="22"/>
          <w:bdr w:val="none" w:sz="0" w:space="0" w:color="auto"/>
        </w:rPr>
        <w:t xml:space="preserve">The Barcelona Institute for Global Health (ISGlobal) is pleased to announce the launch of the Master of </w:t>
      </w:r>
      <w:r w:rsidR="00DD637C">
        <w:rPr>
          <w:rFonts w:ascii="Calibri" w:eastAsia="Calibri" w:hAnsi="Calibri"/>
          <w:b/>
          <w:sz w:val="22"/>
          <w:szCs w:val="22"/>
          <w:bdr w:val="none" w:sz="0" w:space="0" w:color="auto"/>
        </w:rPr>
        <w:t>Clinical Research: International Health</w:t>
      </w:r>
      <w:r w:rsidRPr="00040E04">
        <w:rPr>
          <w:rFonts w:ascii="Calibri" w:eastAsia="Calibri" w:hAnsi="Calibri"/>
          <w:b/>
          <w:sz w:val="22"/>
          <w:szCs w:val="22"/>
          <w:bdr w:val="none" w:sz="0" w:space="0" w:color="auto"/>
        </w:rPr>
        <w:t xml:space="preserve"> Scholarship Program</w:t>
      </w:r>
      <w:r w:rsidR="00F35AAC">
        <w:rPr>
          <w:rFonts w:ascii="Calibri" w:eastAsia="Calibri" w:hAnsi="Calibri"/>
          <w:b/>
          <w:sz w:val="22"/>
          <w:szCs w:val="22"/>
          <w:bdr w:val="none" w:sz="0" w:space="0" w:color="auto"/>
        </w:rPr>
        <w:t xml:space="preserve"> 2020-21</w:t>
      </w:r>
      <w:r w:rsidRPr="00040E04">
        <w:rPr>
          <w:rFonts w:ascii="Calibri" w:eastAsia="Calibri" w:hAnsi="Calibri"/>
          <w:b/>
          <w:sz w:val="22"/>
          <w:szCs w:val="22"/>
          <w:bdr w:val="none" w:sz="0" w:space="0" w:color="auto"/>
        </w:rPr>
        <w:t xml:space="preserve"> for Sub-Saharan African Students. </w:t>
      </w:r>
    </w:p>
    <w:p w14:paraId="5805B813"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Background</w:t>
      </w:r>
    </w:p>
    <w:p w14:paraId="14C72E92" w14:textId="61EAB250" w:rsidR="00DD637C" w:rsidRDefault="001B4A74" w:rsidP="001B4A7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 xml:space="preserve">International health is a discipline that systematically identifies and compares the factors affecting the health of all human populations, with special emphasis on health problems related to poverty in low and middle income countries and attention to issues of equitable access to health. </w:t>
      </w:r>
    </w:p>
    <w:p w14:paraId="4B0F5873" w14:textId="2DA1C3F4" w:rsidR="00DD637C" w:rsidRPr="00CF2F3F" w:rsidRDefault="00CF2F3F" w:rsidP="00CF2F3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 xml:space="preserve">The </w:t>
      </w:r>
      <w:hyperlink r:id="rId8" w:history="1">
        <w:r w:rsidRPr="00917CE1">
          <w:rPr>
            <w:rStyle w:val="Hipervnculo"/>
            <w:rFonts w:ascii="Calibri" w:eastAsia="Calibri" w:hAnsi="Calibri"/>
            <w:sz w:val="22"/>
            <w:szCs w:val="22"/>
            <w:bdr w:val="none" w:sz="0" w:space="0" w:color="auto"/>
          </w:rPr>
          <w:t>Master of Clinical Research: International Health Track</w:t>
        </w:r>
      </w:hyperlink>
      <w:r>
        <w:rPr>
          <w:rFonts w:ascii="Calibri" w:eastAsia="Calibri" w:hAnsi="Calibri"/>
          <w:sz w:val="22"/>
          <w:szCs w:val="22"/>
          <w:bdr w:val="none" w:sz="0" w:space="0" w:color="auto"/>
        </w:rPr>
        <w:t xml:space="preserve">, coordinated by </w:t>
      </w:r>
      <w:proofErr w:type="spellStart"/>
      <w:r>
        <w:rPr>
          <w:rFonts w:ascii="Calibri" w:eastAsia="Calibri" w:hAnsi="Calibri"/>
          <w:sz w:val="22"/>
          <w:szCs w:val="22"/>
          <w:bdr w:val="none" w:sz="0" w:space="0" w:color="auto"/>
        </w:rPr>
        <w:t>ISGlobal</w:t>
      </w:r>
      <w:proofErr w:type="spellEnd"/>
      <w:r>
        <w:rPr>
          <w:rFonts w:ascii="Calibri" w:eastAsia="Calibri" w:hAnsi="Calibri"/>
          <w:sz w:val="22"/>
          <w:szCs w:val="22"/>
          <w:bdr w:val="none" w:sz="0" w:space="0" w:color="auto"/>
        </w:rPr>
        <w:t xml:space="preserve"> and the University of Barcelona, </w:t>
      </w:r>
      <w:r w:rsidR="00C822FB">
        <w:rPr>
          <w:rFonts w:ascii="Calibri" w:eastAsia="Calibri" w:hAnsi="Calibri"/>
          <w:sz w:val="22"/>
          <w:szCs w:val="22"/>
          <w:bdr w:val="none" w:sz="0" w:space="0" w:color="auto"/>
        </w:rPr>
        <w:t xml:space="preserve">opens the door to a research career in global health, giving access to </w:t>
      </w:r>
      <w:r>
        <w:rPr>
          <w:rFonts w:ascii="Calibri" w:eastAsia="Calibri" w:hAnsi="Calibri"/>
          <w:sz w:val="22"/>
          <w:szCs w:val="22"/>
          <w:bdr w:val="none" w:sz="0" w:space="0" w:color="auto"/>
        </w:rPr>
        <w:t xml:space="preserve">doctoral studies. It represents 60 ECTS and provides a balanced mix of theoretical and hands-on training and opportunities to participate in ongoing research projects led by </w:t>
      </w:r>
      <w:proofErr w:type="spellStart"/>
      <w:r>
        <w:rPr>
          <w:rFonts w:ascii="Calibri" w:eastAsia="Calibri" w:hAnsi="Calibri"/>
          <w:sz w:val="22"/>
          <w:szCs w:val="22"/>
          <w:bdr w:val="none" w:sz="0" w:space="0" w:color="auto"/>
        </w:rPr>
        <w:t>ISGlobal</w:t>
      </w:r>
      <w:proofErr w:type="spellEnd"/>
      <w:r>
        <w:rPr>
          <w:rFonts w:ascii="Calibri" w:eastAsia="Calibri" w:hAnsi="Calibri"/>
          <w:sz w:val="22"/>
          <w:szCs w:val="22"/>
          <w:bdr w:val="none" w:sz="0" w:space="0" w:color="auto"/>
        </w:rPr>
        <w:t xml:space="preserve"> investigators and partners. S</w:t>
      </w:r>
      <w:r w:rsidRPr="00040E04">
        <w:rPr>
          <w:rFonts w:ascii="Calibri" w:eastAsia="Calibri" w:hAnsi="Calibri"/>
          <w:sz w:val="22"/>
          <w:szCs w:val="22"/>
          <w:bdr w:val="none" w:sz="0" w:space="0" w:color="auto"/>
        </w:rPr>
        <w:t>uccessful completion leads to the acquisition of the Master’s degree title issued by the University of Barcelona.</w:t>
      </w:r>
    </w:p>
    <w:p w14:paraId="1B92A93D"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Scholarship Coverage</w:t>
      </w:r>
    </w:p>
    <w:p w14:paraId="6473591B" w14:textId="6B9BAC76" w:rsidR="00040E04" w:rsidRPr="00040E04" w:rsidRDefault="00DD637C"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One scholarship</w:t>
      </w:r>
      <w:r w:rsidR="00040E04" w:rsidRPr="00040E04">
        <w:rPr>
          <w:rFonts w:ascii="Calibri" w:eastAsia="Calibri" w:hAnsi="Calibri"/>
          <w:sz w:val="22"/>
          <w:szCs w:val="22"/>
          <w:bdr w:val="none" w:sz="0" w:space="0" w:color="auto"/>
        </w:rPr>
        <w:t xml:space="preserve"> will be gr</w:t>
      </w:r>
      <w:r w:rsidR="00345775">
        <w:rPr>
          <w:rFonts w:ascii="Calibri" w:eastAsia="Calibri" w:hAnsi="Calibri"/>
          <w:sz w:val="22"/>
          <w:szCs w:val="22"/>
          <w:bdr w:val="none" w:sz="0" w:space="0" w:color="auto"/>
        </w:rPr>
        <w:t>anted for the academic year 2020-2021</w:t>
      </w:r>
      <w:r w:rsidR="00040E04" w:rsidRPr="00040E04">
        <w:rPr>
          <w:rFonts w:ascii="Calibri" w:eastAsia="Calibri" w:hAnsi="Calibri"/>
          <w:sz w:val="22"/>
          <w:szCs w:val="22"/>
          <w:bdr w:val="none" w:sz="0" w:space="0" w:color="auto"/>
        </w:rPr>
        <w:t xml:space="preserve">. </w:t>
      </w:r>
      <w:r>
        <w:rPr>
          <w:rFonts w:ascii="Calibri" w:eastAsia="Calibri" w:hAnsi="Calibri"/>
          <w:sz w:val="22"/>
          <w:szCs w:val="22"/>
          <w:bdr w:val="none" w:sz="0" w:space="0" w:color="auto"/>
        </w:rPr>
        <w:t>The</w:t>
      </w:r>
      <w:r w:rsidR="00040E04" w:rsidRPr="00040E04">
        <w:rPr>
          <w:rFonts w:ascii="Calibri" w:eastAsia="Calibri" w:hAnsi="Calibri"/>
          <w:sz w:val="22"/>
          <w:szCs w:val="22"/>
          <w:bdr w:val="none" w:sz="0" w:space="0" w:color="auto"/>
        </w:rPr>
        <w:t xml:space="preserve"> scholarship will cover the total of the tuition fees and the University taxes required for a complete registration in the program.</w:t>
      </w:r>
    </w:p>
    <w:p w14:paraId="0DDBBCC2" w14:textId="174C8D68" w:rsidR="00802015" w:rsidRPr="00917CE1" w:rsidRDefault="00DD637C"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The scholarship</w:t>
      </w:r>
      <w:r w:rsidR="00040E04" w:rsidRPr="00040E04">
        <w:rPr>
          <w:rFonts w:ascii="Calibri" w:eastAsia="Calibri" w:hAnsi="Calibri"/>
          <w:sz w:val="22"/>
          <w:szCs w:val="22"/>
          <w:bdr w:val="none" w:sz="0" w:space="0" w:color="auto"/>
        </w:rPr>
        <w:t xml:space="preserve"> will </w:t>
      </w:r>
      <w:r w:rsidR="00040E04" w:rsidRPr="00040E04">
        <w:rPr>
          <w:rFonts w:ascii="Calibri" w:eastAsia="Calibri" w:hAnsi="Calibri"/>
          <w:sz w:val="22"/>
          <w:szCs w:val="22"/>
          <w:u w:val="single"/>
          <w:bdr w:val="none" w:sz="0" w:space="0" w:color="auto"/>
        </w:rPr>
        <w:t>not</w:t>
      </w:r>
      <w:r w:rsidR="00040E04" w:rsidRPr="00040E04">
        <w:rPr>
          <w:rFonts w:ascii="Calibri" w:eastAsia="Calibri" w:hAnsi="Calibri"/>
          <w:sz w:val="22"/>
          <w:szCs w:val="22"/>
          <w:bdr w:val="none" w:sz="0" w:space="0" w:color="auto"/>
        </w:rPr>
        <w:t xml:space="preserve"> cover any other financial need other than the tuition </w:t>
      </w:r>
      <w:r>
        <w:rPr>
          <w:rFonts w:ascii="Calibri" w:eastAsia="Calibri" w:hAnsi="Calibri"/>
          <w:sz w:val="22"/>
          <w:szCs w:val="22"/>
          <w:bdr w:val="none" w:sz="0" w:space="0" w:color="auto"/>
        </w:rPr>
        <w:t>fees and the University taxes. The g</w:t>
      </w:r>
      <w:r w:rsidR="00040E04" w:rsidRPr="00040E04">
        <w:rPr>
          <w:rFonts w:ascii="Calibri" w:eastAsia="Calibri" w:hAnsi="Calibri"/>
          <w:sz w:val="22"/>
          <w:szCs w:val="22"/>
          <w:bdr w:val="none" w:sz="0" w:space="0" w:color="auto"/>
        </w:rPr>
        <w:t>ranted s</w:t>
      </w:r>
      <w:r>
        <w:rPr>
          <w:rFonts w:ascii="Calibri" w:eastAsia="Calibri" w:hAnsi="Calibri"/>
          <w:sz w:val="22"/>
          <w:szCs w:val="22"/>
          <w:bdr w:val="none" w:sz="0" w:space="0" w:color="auto"/>
        </w:rPr>
        <w:t>tudent is</w:t>
      </w:r>
      <w:r w:rsidR="00040E04" w:rsidRPr="00040E04">
        <w:rPr>
          <w:rFonts w:ascii="Calibri" w:eastAsia="Calibri" w:hAnsi="Calibri"/>
          <w:sz w:val="22"/>
          <w:szCs w:val="22"/>
          <w:bdr w:val="none" w:sz="0" w:space="0" w:color="auto"/>
        </w:rPr>
        <w:t xml:space="preserve"> responsible to ident</w:t>
      </w:r>
      <w:r>
        <w:rPr>
          <w:rFonts w:ascii="Calibri" w:eastAsia="Calibri" w:hAnsi="Calibri"/>
          <w:sz w:val="22"/>
          <w:szCs w:val="22"/>
          <w:bdr w:val="none" w:sz="0" w:space="0" w:color="auto"/>
        </w:rPr>
        <w:t xml:space="preserve">ify additional sponsors or </w:t>
      </w:r>
      <w:r w:rsidR="001011F5">
        <w:rPr>
          <w:rFonts w:ascii="Calibri" w:eastAsia="Calibri" w:hAnsi="Calibri"/>
          <w:sz w:val="22"/>
          <w:szCs w:val="22"/>
          <w:bdr w:val="none" w:sz="0" w:space="0" w:color="auto"/>
        </w:rPr>
        <w:t>its</w:t>
      </w:r>
      <w:r w:rsidR="00040E04" w:rsidRPr="00040E04">
        <w:rPr>
          <w:rFonts w:ascii="Calibri" w:eastAsia="Calibri" w:hAnsi="Calibri"/>
          <w:sz w:val="22"/>
          <w:szCs w:val="22"/>
          <w:bdr w:val="none" w:sz="0" w:space="0" w:color="auto"/>
        </w:rPr>
        <w:t xml:space="preserve"> own financial means to cover all other expenses to travel and study in Barcelona, including, but not restricted to, visa application fees, travel, accommodation, local transportation, living e</w:t>
      </w:r>
      <w:r>
        <w:rPr>
          <w:rFonts w:ascii="Calibri" w:eastAsia="Calibri" w:hAnsi="Calibri"/>
          <w:sz w:val="22"/>
          <w:szCs w:val="22"/>
          <w:bdr w:val="none" w:sz="0" w:space="0" w:color="auto"/>
        </w:rPr>
        <w:t>xpenses, and insurance. The student is</w:t>
      </w:r>
      <w:r w:rsidR="00040E04" w:rsidRPr="00040E04">
        <w:rPr>
          <w:rFonts w:ascii="Calibri" w:eastAsia="Calibri" w:hAnsi="Calibri"/>
          <w:sz w:val="22"/>
          <w:szCs w:val="22"/>
          <w:bdr w:val="none" w:sz="0" w:space="0" w:color="auto"/>
        </w:rPr>
        <w:t xml:space="preserve"> also expected to bring in </w:t>
      </w:r>
      <w:r>
        <w:rPr>
          <w:rFonts w:ascii="Calibri" w:eastAsia="Calibri" w:hAnsi="Calibri"/>
          <w:sz w:val="22"/>
          <w:szCs w:val="22"/>
          <w:bdr w:val="none" w:sz="0" w:space="0" w:color="auto"/>
        </w:rPr>
        <w:t>its</w:t>
      </w:r>
      <w:r w:rsidR="00040E04" w:rsidRPr="00040E04">
        <w:rPr>
          <w:rFonts w:ascii="Calibri" w:eastAsia="Calibri" w:hAnsi="Calibri"/>
          <w:sz w:val="22"/>
          <w:szCs w:val="22"/>
          <w:bdr w:val="none" w:sz="0" w:space="0" w:color="auto"/>
        </w:rPr>
        <w:t xml:space="preserve"> own laptop computer and to be respons</w:t>
      </w:r>
      <w:r w:rsidR="001011F5">
        <w:rPr>
          <w:rFonts w:ascii="Calibri" w:eastAsia="Calibri" w:hAnsi="Calibri"/>
          <w:sz w:val="22"/>
          <w:szCs w:val="22"/>
          <w:bdr w:val="none" w:sz="0" w:space="0" w:color="auto"/>
        </w:rPr>
        <w:t>ible for any other material she/he</w:t>
      </w:r>
      <w:r w:rsidR="00040E04" w:rsidRPr="00040E04">
        <w:rPr>
          <w:rFonts w:ascii="Calibri" w:eastAsia="Calibri" w:hAnsi="Calibri"/>
          <w:sz w:val="22"/>
          <w:szCs w:val="22"/>
          <w:bdr w:val="none" w:sz="0" w:space="0" w:color="auto"/>
        </w:rPr>
        <w:t xml:space="preserve"> may need.</w:t>
      </w:r>
    </w:p>
    <w:p w14:paraId="6535AE4E" w14:textId="32374841"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 xml:space="preserve">Eligible candidates </w:t>
      </w:r>
    </w:p>
    <w:p w14:paraId="576CCFD5"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Scholarship applicants must be nationals and reside in one Sub-Saharan country: </w:t>
      </w:r>
    </w:p>
    <w:tbl>
      <w:tblPr>
        <w:tblStyle w:val="Tablaconcuadrcula"/>
        <w:tblW w:w="5000" w:type="pct"/>
        <w:tblLook w:val="04A0" w:firstRow="1" w:lastRow="0" w:firstColumn="1" w:lastColumn="0" w:noHBand="0" w:noVBand="1"/>
      </w:tblPr>
      <w:tblGrid>
        <w:gridCol w:w="2970"/>
        <w:gridCol w:w="2216"/>
        <w:gridCol w:w="2531"/>
        <w:gridCol w:w="2019"/>
      </w:tblGrid>
      <w:tr w:rsidR="00040E04" w:rsidRPr="00040E04" w14:paraId="513D8A1C" w14:textId="77777777" w:rsidTr="00DA0CDA">
        <w:tc>
          <w:tcPr>
            <w:tcW w:w="1525" w:type="pct"/>
            <w:hideMark/>
          </w:tcPr>
          <w:p w14:paraId="046E14FF"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Angola</w:t>
            </w:r>
            <w:r w:rsidRPr="00040E04">
              <w:rPr>
                <w:rFonts w:eastAsia="Times New Roman"/>
                <w:sz w:val="20"/>
                <w:szCs w:val="20"/>
                <w:lang w:eastAsia="es-ES"/>
              </w:rPr>
              <w:br/>
              <w:t>Benin</w:t>
            </w:r>
            <w:r w:rsidRPr="00040E04">
              <w:rPr>
                <w:rFonts w:eastAsia="Times New Roman"/>
                <w:sz w:val="20"/>
                <w:szCs w:val="20"/>
                <w:lang w:eastAsia="es-ES"/>
              </w:rPr>
              <w:br/>
              <w:t>Botswana</w:t>
            </w:r>
            <w:r w:rsidRPr="00040E04">
              <w:rPr>
                <w:rFonts w:eastAsia="Times New Roman"/>
                <w:sz w:val="20"/>
                <w:szCs w:val="20"/>
                <w:lang w:eastAsia="es-ES"/>
              </w:rPr>
              <w:br/>
              <w:t>Burkina Faso</w:t>
            </w:r>
            <w:r w:rsidRPr="00040E04">
              <w:rPr>
                <w:rFonts w:eastAsia="Times New Roman"/>
                <w:sz w:val="20"/>
                <w:szCs w:val="20"/>
                <w:lang w:eastAsia="es-ES"/>
              </w:rPr>
              <w:br/>
              <w:t>Burundi</w:t>
            </w:r>
            <w:r w:rsidRPr="00040E04">
              <w:rPr>
                <w:rFonts w:eastAsia="Times New Roman"/>
                <w:sz w:val="20"/>
                <w:szCs w:val="20"/>
                <w:lang w:eastAsia="es-ES"/>
              </w:rPr>
              <w:br/>
              <w:t>Cameroon</w:t>
            </w:r>
            <w:r w:rsidRPr="00040E04">
              <w:rPr>
                <w:rFonts w:eastAsia="Times New Roman"/>
                <w:sz w:val="20"/>
                <w:szCs w:val="20"/>
                <w:lang w:eastAsia="es-ES"/>
              </w:rPr>
              <w:br/>
              <w:t>Cape Verde</w:t>
            </w:r>
            <w:r w:rsidRPr="00040E04">
              <w:rPr>
                <w:rFonts w:eastAsia="Times New Roman"/>
                <w:sz w:val="20"/>
                <w:szCs w:val="20"/>
                <w:lang w:eastAsia="es-ES"/>
              </w:rPr>
              <w:br/>
              <w:t>Central African Republic</w:t>
            </w:r>
            <w:r w:rsidRPr="00040E04">
              <w:rPr>
                <w:rFonts w:eastAsia="Times New Roman"/>
                <w:sz w:val="20"/>
                <w:szCs w:val="20"/>
                <w:lang w:eastAsia="es-ES"/>
              </w:rPr>
              <w:br/>
              <w:t>Chad</w:t>
            </w:r>
            <w:r w:rsidRPr="00040E04">
              <w:rPr>
                <w:rFonts w:eastAsia="Times New Roman"/>
                <w:sz w:val="20"/>
                <w:szCs w:val="20"/>
                <w:lang w:eastAsia="es-ES"/>
              </w:rPr>
              <w:br/>
              <w:t>Comoros</w:t>
            </w:r>
            <w:r w:rsidRPr="00040E04">
              <w:rPr>
                <w:rFonts w:eastAsia="Times New Roman"/>
                <w:sz w:val="20"/>
                <w:szCs w:val="20"/>
                <w:lang w:eastAsia="es-ES"/>
              </w:rPr>
              <w:br/>
              <w:t>Congo (Brazzaville)</w:t>
            </w:r>
            <w:r w:rsidRPr="00040E04">
              <w:rPr>
                <w:rFonts w:eastAsia="Times New Roman"/>
                <w:sz w:val="20"/>
                <w:szCs w:val="20"/>
                <w:lang w:eastAsia="es-ES"/>
              </w:rPr>
              <w:br/>
              <w:t>Congo (Democratic Republic)</w:t>
            </w:r>
          </w:p>
        </w:tc>
        <w:tc>
          <w:tcPr>
            <w:tcW w:w="1138" w:type="pct"/>
            <w:hideMark/>
          </w:tcPr>
          <w:p w14:paraId="0E281C5C"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Côte d'Ivoire</w:t>
            </w:r>
            <w:r w:rsidRPr="00040E04">
              <w:rPr>
                <w:rFonts w:eastAsia="Times New Roman"/>
                <w:sz w:val="20"/>
                <w:szCs w:val="20"/>
                <w:lang w:eastAsia="es-ES"/>
              </w:rPr>
              <w:br/>
              <w:t>Djibouti</w:t>
            </w:r>
            <w:r w:rsidRPr="00040E04">
              <w:rPr>
                <w:rFonts w:eastAsia="Times New Roman"/>
                <w:sz w:val="20"/>
                <w:szCs w:val="20"/>
                <w:lang w:eastAsia="es-ES"/>
              </w:rPr>
              <w:br/>
              <w:t>Equatorial Guinea</w:t>
            </w:r>
            <w:r w:rsidRPr="00040E04">
              <w:rPr>
                <w:rFonts w:eastAsia="Times New Roman"/>
                <w:sz w:val="20"/>
                <w:szCs w:val="20"/>
                <w:lang w:eastAsia="es-ES"/>
              </w:rPr>
              <w:br/>
              <w:t>Eritrea</w:t>
            </w:r>
            <w:r w:rsidRPr="00040E04">
              <w:rPr>
                <w:rFonts w:eastAsia="Times New Roman"/>
                <w:sz w:val="20"/>
                <w:szCs w:val="20"/>
                <w:lang w:eastAsia="es-ES"/>
              </w:rPr>
              <w:br/>
              <w:t>Ethiopia</w:t>
            </w:r>
            <w:r w:rsidRPr="00040E04">
              <w:rPr>
                <w:rFonts w:eastAsia="Times New Roman"/>
                <w:sz w:val="20"/>
                <w:szCs w:val="20"/>
                <w:lang w:eastAsia="es-ES"/>
              </w:rPr>
              <w:br/>
              <w:t>Gabon</w:t>
            </w:r>
            <w:r w:rsidRPr="00040E04">
              <w:rPr>
                <w:rFonts w:eastAsia="Times New Roman"/>
                <w:sz w:val="20"/>
                <w:szCs w:val="20"/>
                <w:lang w:eastAsia="es-ES"/>
              </w:rPr>
              <w:br/>
              <w:t>The Gambia</w:t>
            </w:r>
            <w:r w:rsidRPr="00040E04">
              <w:rPr>
                <w:rFonts w:eastAsia="Times New Roman"/>
                <w:sz w:val="20"/>
                <w:szCs w:val="20"/>
                <w:lang w:eastAsia="es-ES"/>
              </w:rPr>
              <w:br/>
              <w:t>Ghana</w:t>
            </w:r>
            <w:r w:rsidRPr="00040E04">
              <w:rPr>
                <w:rFonts w:eastAsia="Times New Roman"/>
                <w:sz w:val="20"/>
                <w:szCs w:val="20"/>
                <w:lang w:eastAsia="es-ES"/>
              </w:rPr>
              <w:br/>
              <w:t>Guinea</w:t>
            </w:r>
            <w:r w:rsidRPr="00040E04">
              <w:rPr>
                <w:rFonts w:eastAsia="Times New Roman"/>
                <w:sz w:val="20"/>
                <w:szCs w:val="20"/>
                <w:lang w:eastAsia="es-ES"/>
              </w:rPr>
              <w:br/>
              <w:t>Guinea-Bissau</w:t>
            </w:r>
            <w:r w:rsidRPr="00040E04">
              <w:rPr>
                <w:rFonts w:eastAsia="Times New Roman"/>
                <w:sz w:val="20"/>
                <w:szCs w:val="20"/>
                <w:lang w:eastAsia="es-ES"/>
              </w:rPr>
              <w:br/>
              <w:t>Kenya</w:t>
            </w:r>
            <w:r w:rsidRPr="00040E04">
              <w:rPr>
                <w:rFonts w:eastAsia="Times New Roman"/>
                <w:sz w:val="20"/>
                <w:szCs w:val="20"/>
                <w:lang w:eastAsia="es-ES"/>
              </w:rPr>
              <w:br/>
              <w:t>Lesotho</w:t>
            </w:r>
            <w:r w:rsidRPr="00040E04">
              <w:rPr>
                <w:rFonts w:eastAsia="Times New Roman"/>
                <w:sz w:val="20"/>
                <w:szCs w:val="20"/>
                <w:lang w:eastAsia="es-ES"/>
              </w:rPr>
              <w:br/>
              <w:t>Liberia</w:t>
            </w:r>
          </w:p>
        </w:tc>
        <w:tc>
          <w:tcPr>
            <w:tcW w:w="1300" w:type="pct"/>
            <w:hideMark/>
          </w:tcPr>
          <w:p w14:paraId="33D49EDC"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Madagascar</w:t>
            </w:r>
            <w:r w:rsidRPr="00040E04">
              <w:rPr>
                <w:rFonts w:eastAsia="Times New Roman"/>
                <w:sz w:val="20"/>
                <w:szCs w:val="20"/>
                <w:lang w:eastAsia="es-ES"/>
              </w:rPr>
              <w:br/>
              <w:t>Malawi</w:t>
            </w:r>
            <w:r w:rsidRPr="00040E04">
              <w:rPr>
                <w:rFonts w:eastAsia="Times New Roman"/>
                <w:sz w:val="20"/>
                <w:szCs w:val="20"/>
                <w:lang w:eastAsia="es-ES"/>
              </w:rPr>
              <w:br/>
              <w:t>Mali</w:t>
            </w:r>
            <w:r w:rsidRPr="00040E04">
              <w:rPr>
                <w:rFonts w:eastAsia="Times New Roman"/>
                <w:sz w:val="20"/>
                <w:szCs w:val="20"/>
                <w:lang w:eastAsia="es-ES"/>
              </w:rPr>
              <w:br/>
              <w:t>Mauritania</w:t>
            </w:r>
            <w:r w:rsidRPr="00040E04">
              <w:rPr>
                <w:rFonts w:eastAsia="Times New Roman"/>
                <w:sz w:val="20"/>
                <w:szCs w:val="20"/>
                <w:lang w:eastAsia="es-ES"/>
              </w:rPr>
              <w:br/>
              <w:t>Mauritius</w:t>
            </w:r>
            <w:r w:rsidRPr="00040E04">
              <w:rPr>
                <w:rFonts w:eastAsia="Times New Roman"/>
                <w:sz w:val="20"/>
                <w:szCs w:val="20"/>
                <w:lang w:eastAsia="es-ES"/>
              </w:rPr>
              <w:br/>
              <w:t>Mozambique</w:t>
            </w:r>
            <w:r w:rsidRPr="00040E04">
              <w:rPr>
                <w:rFonts w:eastAsia="Times New Roman"/>
                <w:sz w:val="20"/>
                <w:szCs w:val="20"/>
                <w:lang w:eastAsia="es-ES"/>
              </w:rPr>
              <w:br/>
              <w:t>Namibia</w:t>
            </w:r>
            <w:r w:rsidRPr="00040E04">
              <w:rPr>
                <w:rFonts w:eastAsia="Times New Roman"/>
                <w:sz w:val="20"/>
                <w:szCs w:val="20"/>
                <w:lang w:eastAsia="es-ES"/>
              </w:rPr>
              <w:br/>
              <w:t>Niger</w:t>
            </w:r>
            <w:r w:rsidRPr="00040E04">
              <w:rPr>
                <w:rFonts w:eastAsia="Times New Roman"/>
                <w:sz w:val="20"/>
                <w:szCs w:val="20"/>
                <w:lang w:eastAsia="es-ES"/>
              </w:rPr>
              <w:br/>
              <w:t>Nigeria</w:t>
            </w:r>
            <w:r w:rsidRPr="00040E04">
              <w:rPr>
                <w:rFonts w:eastAsia="Times New Roman"/>
                <w:sz w:val="20"/>
                <w:szCs w:val="20"/>
                <w:lang w:eastAsia="es-ES"/>
              </w:rPr>
              <w:br/>
            </w:r>
            <w:proofErr w:type="spellStart"/>
            <w:r w:rsidRPr="00040E04">
              <w:rPr>
                <w:rFonts w:eastAsia="Times New Roman"/>
                <w:sz w:val="20"/>
                <w:szCs w:val="20"/>
                <w:lang w:eastAsia="es-ES"/>
              </w:rPr>
              <w:t>Réunion</w:t>
            </w:r>
            <w:proofErr w:type="spellEnd"/>
            <w:r w:rsidRPr="00040E04">
              <w:rPr>
                <w:rFonts w:eastAsia="Times New Roman"/>
                <w:sz w:val="20"/>
                <w:szCs w:val="20"/>
                <w:lang w:eastAsia="es-ES"/>
              </w:rPr>
              <w:br/>
              <w:t>Rwanda</w:t>
            </w:r>
            <w:r w:rsidRPr="00040E04">
              <w:rPr>
                <w:rFonts w:eastAsia="Times New Roman"/>
                <w:sz w:val="20"/>
                <w:szCs w:val="20"/>
                <w:lang w:eastAsia="es-ES"/>
              </w:rPr>
              <w:br/>
              <w:t>Sao Tome and Principe</w:t>
            </w:r>
            <w:r w:rsidRPr="00040E04">
              <w:rPr>
                <w:rFonts w:eastAsia="Times New Roman"/>
                <w:sz w:val="20"/>
                <w:szCs w:val="20"/>
                <w:lang w:eastAsia="es-ES"/>
              </w:rPr>
              <w:br/>
              <w:t>Senegal</w:t>
            </w:r>
          </w:p>
        </w:tc>
        <w:tc>
          <w:tcPr>
            <w:tcW w:w="1037" w:type="pct"/>
            <w:hideMark/>
          </w:tcPr>
          <w:p w14:paraId="7EDF228D" w14:textId="77777777" w:rsidR="00040E04" w:rsidRPr="00040E04" w:rsidRDefault="00040E04" w:rsidP="00040E04">
            <w:pPr>
              <w:rPr>
                <w:rFonts w:eastAsia="Times New Roman"/>
                <w:sz w:val="20"/>
                <w:szCs w:val="20"/>
                <w:lang w:eastAsia="es-ES"/>
              </w:rPr>
            </w:pPr>
            <w:r w:rsidRPr="00040E04">
              <w:rPr>
                <w:rFonts w:eastAsia="Times New Roman"/>
                <w:sz w:val="20"/>
                <w:szCs w:val="20"/>
                <w:lang w:eastAsia="es-ES"/>
              </w:rPr>
              <w:t>Seychelles</w:t>
            </w:r>
            <w:r w:rsidRPr="00040E04">
              <w:rPr>
                <w:rFonts w:eastAsia="Times New Roman"/>
                <w:sz w:val="20"/>
                <w:szCs w:val="20"/>
                <w:lang w:eastAsia="es-ES"/>
              </w:rPr>
              <w:br/>
              <w:t>Sierra Leone</w:t>
            </w:r>
            <w:r w:rsidRPr="00040E04">
              <w:rPr>
                <w:rFonts w:eastAsia="Times New Roman"/>
                <w:sz w:val="20"/>
                <w:szCs w:val="20"/>
                <w:lang w:eastAsia="es-ES"/>
              </w:rPr>
              <w:br/>
              <w:t>Somalia</w:t>
            </w:r>
            <w:r w:rsidRPr="00040E04">
              <w:rPr>
                <w:rFonts w:eastAsia="Times New Roman"/>
                <w:sz w:val="20"/>
                <w:szCs w:val="20"/>
                <w:lang w:eastAsia="es-ES"/>
              </w:rPr>
              <w:br/>
              <w:t>South Africa</w:t>
            </w:r>
            <w:r w:rsidRPr="00040E04">
              <w:rPr>
                <w:rFonts w:eastAsia="Times New Roman"/>
                <w:sz w:val="20"/>
                <w:szCs w:val="20"/>
                <w:lang w:eastAsia="es-ES"/>
              </w:rPr>
              <w:br/>
              <w:t>Sudan</w:t>
            </w:r>
            <w:r w:rsidRPr="00040E04">
              <w:rPr>
                <w:rFonts w:eastAsia="Times New Roman"/>
                <w:sz w:val="20"/>
                <w:szCs w:val="20"/>
                <w:lang w:eastAsia="es-ES"/>
              </w:rPr>
              <w:br/>
              <w:t>Swaziland</w:t>
            </w:r>
            <w:r w:rsidRPr="00040E04">
              <w:rPr>
                <w:rFonts w:eastAsia="Times New Roman"/>
                <w:sz w:val="20"/>
                <w:szCs w:val="20"/>
                <w:lang w:eastAsia="es-ES"/>
              </w:rPr>
              <w:br/>
              <w:t>Tanzania</w:t>
            </w:r>
            <w:r w:rsidRPr="00040E04">
              <w:rPr>
                <w:rFonts w:eastAsia="Times New Roman"/>
                <w:sz w:val="20"/>
                <w:szCs w:val="20"/>
                <w:lang w:eastAsia="es-ES"/>
              </w:rPr>
              <w:br/>
              <w:t>Togo</w:t>
            </w:r>
            <w:r w:rsidRPr="00040E04">
              <w:rPr>
                <w:rFonts w:eastAsia="Times New Roman"/>
                <w:sz w:val="20"/>
                <w:szCs w:val="20"/>
                <w:lang w:eastAsia="es-ES"/>
              </w:rPr>
              <w:br/>
              <w:t>Uganda</w:t>
            </w:r>
            <w:r w:rsidRPr="00040E04">
              <w:rPr>
                <w:rFonts w:eastAsia="Times New Roman"/>
                <w:sz w:val="20"/>
                <w:szCs w:val="20"/>
                <w:lang w:eastAsia="es-ES"/>
              </w:rPr>
              <w:br/>
              <w:t>Western Sahara</w:t>
            </w:r>
            <w:r w:rsidRPr="00040E04">
              <w:rPr>
                <w:rFonts w:eastAsia="Times New Roman"/>
                <w:sz w:val="20"/>
                <w:szCs w:val="20"/>
                <w:lang w:eastAsia="es-ES"/>
              </w:rPr>
              <w:br/>
              <w:t>Zambia</w:t>
            </w:r>
            <w:r w:rsidRPr="00040E04">
              <w:rPr>
                <w:rFonts w:eastAsia="Times New Roman"/>
                <w:sz w:val="20"/>
                <w:szCs w:val="20"/>
                <w:lang w:eastAsia="es-ES"/>
              </w:rPr>
              <w:br/>
              <w:t>Zimbabwe</w:t>
            </w:r>
          </w:p>
        </w:tc>
      </w:tr>
    </w:tbl>
    <w:p w14:paraId="199B6F4F" w14:textId="77777777" w:rsidR="00802015" w:rsidRDefault="00802015" w:rsidP="00802015">
      <w:pPr>
        <w:rPr>
          <w:rFonts w:ascii="Calibri" w:eastAsia="Calibri" w:hAnsi="Calibri"/>
          <w:sz w:val="22"/>
          <w:szCs w:val="22"/>
          <w:bdr w:val="none" w:sz="0" w:space="0" w:color="auto"/>
        </w:rPr>
      </w:pPr>
    </w:p>
    <w:p w14:paraId="750CD1AD" w14:textId="77777777" w:rsidR="00917CE1" w:rsidRDefault="00917CE1" w:rsidP="00802015">
      <w:pPr>
        <w:rPr>
          <w:rFonts w:ascii="Calibri" w:eastAsia="Calibri" w:hAnsi="Calibri"/>
          <w:sz w:val="22"/>
          <w:szCs w:val="22"/>
          <w:bdr w:val="none" w:sz="0" w:space="0" w:color="auto"/>
        </w:rPr>
      </w:pPr>
    </w:p>
    <w:p w14:paraId="08541DCA" w14:textId="77777777" w:rsidR="00917CE1" w:rsidRDefault="00917CE1" w:rsidP="00802015">
      <w:pPr>
        <w:rPr>
          <w:rFonts w:ascii="Calibri" w:eastAsia="Calibri" w:hAnsi="Calibri"/>
          <w:sz w:val="22"/>
          <w:szCs w:val="22"/>
          <w:bdr w:val="none" w:sz="0" w:space="0" w:color="auto"/>
        </w:rPr>
      </w:pPr>
    </w:p>
    <w:p w14:paraId="200DD21B" w14:textId="77777777" w:rsidR="00917CE1" w:rsidRDefault="00917CE1" w:rsidP="00802015">
      <w:pPr>
        <w:rPr>
          <w:rFonts w:ascii="Calibri" w:eastAsia="Calibri" w:hAnsi="Calibri"/>
          <w:sz w:val="22"/>
          <w:szCs w:val="22"/>
          <w:bdr w:val="none" w:sz="0" w:space="0" w:color="auto"/>
        </w:rPr>
      </w:pPr>
    </w:p>
    <w:p w14:paraId="7C92C2D9" w14:textId="77777777" w:rsidR="00917CE1" w:rsidRDefault="00917CE1" w:rsidP="00802015">
      <w:pPr>
        <w:rPr>
          <w:rFonts w:ascii="Calibri" w:eastAsia="Calibri" w:hAnsi="Calibri"/>
          <w:sz w:val="22"/>
          <w:szCs w:val="22"/>
          <w:bdr w:val="none" w:sz="0" w:space="0" w:color="auto"/>
        </w:rPr>
      </w:pPr>
    </w:p>
    <w:p w14:paraId="21A77B28" w14:textId="77777777" w:rsidR="00917CE1" w:rsidRDefault="00917CE1" w:rsidP="00802015">
      <w:pPr>
        <w:rPr>
          <w:rFonts w:ascii="Calibri" w:eastAsia="Calibri" w:hAnsi="Calibri"/>
          <w:sz w:val="22"/>
          <w:szCs w:val="22"/>
          <w:bdr w:val="none" w:sz="0" w:space="0" w:color="auto"/>
        </w:rPr>
      </w:pPr>
    </w:p>
    <w:p w14:paraId="0FBA6E15" w14:textId="77777777" w:rsidR="00917CE1" w:rsidRDefault="00917CE1" w:rsidP="00802015">
      <w:pPr>
        <w:rPr>
          <w:rFonts w:ascii="Calibri" w:eastAsia="Calibri" w:hAnsi="Calibri"/>
          <w:sz w:val="22"/>
          <w:szCs w:val="22"/>
          <w:bdr w:val="none" w:sz="0" w:space="0" w:color="auto"/>
        </w:rPr>
      </w:pPr>
    </w:p>
    <w:p w14:paraId="582EF586" w14:textId="77777777" w:rsidR="00917CE1" w:rsidRDefault="00917CE1" w:rsidP="00802015">
      <w:pPr>
        <w:rPr>
          <w:rFonts w:ascii="Calibri" w:eastAsia="Calibri" w:hAnsi="Calibri"/>
          <w:sz w:val="22"/>
          <w:szCs w:val="22"/>
          <w:bdr w:val="none" w:sz="0" w:space="0" w:color="auto"/>
        </w:rPr>
      </w:pPr>
    </w:p>
    <w:p w14:paraId="0D330718" w14:textId="77777777" w:rsidR="00917CE1" w:rsidRDefault="00917CE1" w:rsidP="00802015">
      <w:pPr>
        <w:rPr>
          <w:rFonts w:ascii="Calibri" w:eastAsia="Calibri" w:hAnsi="Calibri"/>
          <w:sz w:val="22"/>
          <w:szCs w:val="22"/>
          <w:bdr w:val="none" w:sz="0" w:space="0" w:color="auto"/>
        </w:rPr>
      </w:pPr>
    </w:p>
    <w:p w14:paraId="2878E0E6" w14:textId="4650ECC8" w:rsidR="00040E04" w:rsidRPr="00040E04" w:rsidRDefault="00040E04" w:rsidP="00A27FFD">
      <w:pPr>
        <w:spacing w:line="276" w:lineRule="auto"/>
        <w:rPr>
          <w:rFonts w:ascii="Calibri" w:eastAsia="Calibri" w:hAnsi="Calibri"/>
          <w:sz w:val="22"/>
          <w:szCs w:val="22"/>
          <w:bdr w:val="none" w:sz="0" w:space="0" w:color="auto"/>
        </w:rPr>
      </w:pPr>
      <w:r w:rsidRPr="00040E04">
        <w:rPr>
          <w:rFonts w:ascii="Calibri" w:eastAsia="Calibri" w:hAnsi="Calibri"/>
          <w:sz w:val="22"/>
          <w:szCs w:val="22"/>
          <w:bdr w:val="none" w:sz="0" w:space="0" w:color="auto"/>
        </w:rPr>
        <w:t>Applicants must also hold a Bachelor’s University degre</w:t>
      </w:r>
      <w:r w:rsidR="001011F5">
        <w:rPr>
          <w:rFonts w:ascii="Calibri" w:eastAsia="Calibri" w:hAnsi="Calibri"/>
          <w:sz w:val="22"/>
          <w:szCs w:val="22"/>
          <w:bdr w:val="none" w:sz="0" w:space="0" w:color="auto"/>
        </w:rPr>
        <w:t xml:space="preserve">e, or superior, in one of the disciplines listed in our </w:t>
      </w:r>
      <w:hyperlink r:id="rId9" w:history="1">
        <w:r w:rsidR="001011F5" w:rsidRPr="001011F5">
          <w:rPr>
            <w:rStyle w:val="Hipervnculo"/>
            <w:rFonts w:ascii="Calibri" w:eastAsia="Calibri" w:hAnsi="Calibri"/>
            <w:sz w:val="22"/>
            <w:szCs w:val="22"/>
            <w:bdr w:val="none" w:sz="0" w:space="0" w:color="auto"/>
          </w:rPr>
          <w:t>website</w:t>
        </w:r>
      </w:hyperlink>
      <w:r w:rsidR="001011F5">
        <w:rPr>
          <w:rFonts w:ascii="Calibri" w:eastAsia="Calibri" w:hAnsi="Calibri"/>
          <w:sz w:val="22"/>
          <w:szCs w:val="22"/>
          <w:bdr w:val="none" w:sz="0" w:space="0" w:color="auto"/>
        </w:rPr>
        <w:t xml:space="preserve">, </w:t>
      </w:r>
      <w:r w:rsidRPr="00040E04">
        <w:rPr>
          <w:rFonts w:ascii="Calibri" w:eastAsia="Calibri" w:hAnsi="Calibri"/>
          <w:sz w:val="22"/>
          <w:szCs w:val="22"/>
          <w:bdr w:val="none" w:sz="0" w:space="0" w:color="auto"/>
        </w:rPr>
        <w:t xml:space="preserve">and demonstrate an outstanding record of high grades in their transcript. </w:t>
      </w:r>
    </w:p>
    <w:p w14:paraId="40589E5D" w14:textId="77777777" w:rsidR="00040E04" w:rsidRPr="00040E04" w:rsidRDefault="00040E04" w:rsidP="00A27FF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Applicants must show a strong commitment with global health values, including health equity, care for vulnerable populations and acceptance of diversity. They must show passion to improve the health status of their communities as well as a clear understanding of the international challenges the health community faces. </w:t>
      </w:r>
    </w:p>
    <w:p w14:paraId="22C02237"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sidRPr="00040E04">
        <w:rPr>
          <w:rFonts w:ascii="Calibri" w:eastAsia="Calibri" w:hAnsi="Calibri"/>
          <w:sz w:val="22"/>
          <w:szCs w:val="22"/>
          <w:u w:val="single"/>
          <w:bdr w:val="none" w:sz="0" w:space="0" w:color="auto"/>
        </w:rPr>
        <w:t>Selection process</w:t>
      </w:r>
    </w:p>
    <w:p w14:paraId="3FED55F2" w14:textId="1EC48CE0" w:rsidR="00040E04" w:rsidRPr="00040E04" w:rsidRDefault="00DD637C"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 xml:space="preserve">The process to select the </w:t>
      </w:r>
      <w:r w:rsidR="00040E04" w:rsidRPr="00040E04">
        <w:rPr>
          <w:rFonts w:ascii="Calibri" w:eastAsia="Calibri" w:hAnsi="Calibri"/>
          <w:sz w:val="22"/>
          <w:szCs w:val="22"/>
          <w:bdr w:val="none" w:sz="0" w:space="0" w:color="auto"/>
        </w:rPr>
        <w:t>scholarship re</w:t>
      </w:r>
      <w:r>
        <w:rPr>
          <w:rFonts w:ascii="Calibri" w:eastAsia="Calibri" w:hAnsi="Calibri"/>
          <w:sz w:val="22"/>
          <w:szCs w:val="22"/>
          <w:bdr w:val="none" w:sz="0" w:space="0" w:color="auto"/>
        </w:rPr>
        <w:t>cipient</w:t>
      </w:r>
      <w:r w:rsidR="004F1C45">
        <w:rPr>
          <w:rFonts w:ascii="Calibri" w:eastAsia="Calibri" w:hAnsi="Calibri"/>
          <w:sz w:val="22"/>
          <w:szCs w:val="22"/>
          <w:bdr w:val="none" w:sz="0" w:space="0" w:color="auto"/>
        </w:rPr>
        <w:t xml:space="preserve"> will be deployed in three</w:t>
      </w:r>
      <w:r w:rsidR="00040E04" w:rsidRPr="00040E04">
        <w:rPr>
          <w:rFonts w:ascii="Calibri" w:eastAsia="Calibri" w:hAnsi="Calibri"/>
          <w:sz w:val="22"/>
          <w:szCs w:val="22"/>
          <w:bdr w:val="none" w:sz="0" w:space="0" w:color="auto"/>
        </w:rPr>
        <w:t xml:space="preserve"> phases:</w:t>
      </w:r>
    </w:p>
    <w:p w14:paraId="0F070713" w14:textId="77777777" w:rsidR="00040E04" w:rsidRPr="00D93C75" w:rsidRDefault="00040E04" w:rsidP="00040E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b/>
          <w:sz w:val="22"/>
          <w:szCs w:val="22"/>
          <w:bdr w:val="none" w:sz="0" w:space="0" w:color="auto"/>
        </w:rPr>
      </w:pPr>
      <w:r w:rsidRPr="00D93C75">
        <w:rPr>
          <w:rFonts w:ascii="Calibri" w:eastAsia="Calibri" w:hAnsi="Calibri"/>
          <w:b/>
          <w:sz w:val="22"/>
          <w:szCs w:val="22"/>
          <w:bdr w:val="none" w:sz="0" w:space="0" w:color="auto"/>
        </w:rPr>
        <w:t>Phase I Open Call for Applications</w:t>
      </w:r>
    </w:p>
    <w:p w14:paraId="1BA7156F" w14:textId="77777777" w:rsidR="00040E04" w:rsidRPr="00040E04" w:rsidRDefault="00040E04"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All interested candidates should send the following documents:</w:t>
      </w:r>
    </w:p>
    <w:p w14:paraId="73EDF945" w14:textId="6A2906FA" w:rsidR="00040E04" w:rsidRPr="00040E04" w:rsidRDefault="00040E04"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A complete CV </w:t>
      </w:r>
      <w:r w:rsidR="008B0A28">
        <w:rPr>
          <w:rFonts w:ascii="Calibri" w:eastAsia="Calibri" w:hAnsi="Calibri"/>
          <w:sz w:val="22"/>
          <w:szCs w:val="22"/>
          <w:bdr w:val="none" w:sz="0" w:space="0" w:color="auto"/>
        </w:rPr>
        <w:t xml:space="preserve">using </w:t>
      </w:r>
      <w:proofErr w:type="spellStart"/>
      <w:r w:rsidR="008B0A28">
        <w:rPr>
          <w:rFonts w:ascii="Calibri" w:eastAsia="Calibri" w:hAnsi="Calibri"/>
          <w:sz w:val="22"/>
          <w:szCs w:val="22"/>
          <w:bdr w:val="none" w:sz="0" w:space="0" w:color="auto"/>
        </w:rPr>
        <w:t>ISGlobal’s</w:t>
      </w:r>
      <w:proofErr w:type="spellEnd"/>
      <w:r w:rsidR="008B0A28">
        <w:rPr>
          <w:rFonts w:ascii="Calibri" w:eastAsia="Calibri" w:hAnsi="Calibri"/>
          <w:sz w:val="22"/>
          <w:szCs w:val="22"/>
          <w:bdr w:val="none" w:sz="0" w:space="0" w:color="auto"/>
        </w:rPr>
        <w:t xml:space="preserve"> template.</w:t>
      </w:r>
    </w:p>
    <w:p w14:paraId="0B80C3E1" w14:textId="3C5153FA" w:rsidR="00040E04" w:rsidRPr="00040E04" w:rsidRDefault="004F1EA3"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Pr>
          <w:rFonts w:ascii="Calibri" w:eastAsia="Calibri" w:hAnsi="Calibri"/>
          <w:sz w:val="22"/>
          <w:szCs w:val="22"/>
          <w:bdr w:val="none" w:sz="0" w:space="0" w:color="auto"/>
        </w:rPr>
        <w:t>A complete copy of</w:t>
      </w:r>
      <w:r w:rsidR="00040E04" w:rsidRPr="00040E04">
        <w:rPr>
          <w:rFonts w:ascii="Calibri" w:eastAsia="Calibri" w:hAnsi="Calibri"/>
          <w:sz w:val="22"/>
          <w:szCs w:val="22"/>
          <w:bdr w:val="none" w:sz="0" w:space="0" w:color="auto"/>
        </w:rPr>
        <w:t xml:space="preserve"> Bachelor (or higher degree) official transcript.</w:t>
      </w:r>
    </w:p>
    <w:p w14:paraId="65E7534C" w14:textId="12F0D979" w:rsidR="00040E04" w:rsidRPr="00040E04" w:rsidRDefault="00040E04"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A motivation letter not longer than 700 words explaining why they are the ideal candidates for our Master of </w:t>
      </w:r>
      <w:r w:rsidR="00C876D4">
        <w:rPr>
          <w:rFonts w:ascii="Calibri" w:eastAsia="Calibri" w:hAnsi="Calibri"/>
          <w:sz w:val="22"/>
          <w:szCs w:val="22"/>
          <w:bdr w:val="none" w:sz="0" w:space="0" w:color="auto"/>
        </w:rPr>
        <w:t>Clinical Research – International Health.</w:t>
      </w:r>
    </w:p>
    <w:p w14:paraId="76736C2A" w14:textId="77777777" w:rsidR="00040E04" w:rsidRDefault="00040E04" w:rsidP="00040E04">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Two letters of recommendation from highly-qualified experts in Global Health.</w:t>
      </w:r>
    </w:p>
    <w:p w14:paraId="42FD8FBE" w14:textId="77777777" w:rsidR="008B0A28" w:rsidRPr="00040E04" w:rsidRDefault="008B0A28" w:rsidP="004F1C4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sz w:val="22"/>
          <w:szCs w:val="22"/>
          <w:bdr w:val="none" w:sz="0" w:space="0" w:color="auto"/>
        </w:rPr>
      </w:pPr>
    </w:p>
    <w:p w14:paraId="26D1CAFA" w14:textId="2D7F8608" w:rsidR="00802015" w:rsidRDefault="001B15E7"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u w:val="single"/>
          <w:bdr w:val="none" w:sz="0" w:space="0" w:color="auto"/>
        </w:rPr>
      </w:pPr>
      <w:r>
        <w:rPr>
          <w:rFonts w:ascii="Calibri" w:eastAsia="Calibri" w:hAnsi="Calibri"/>
          <w:sz w:val="22"/>
          <w:szCs w:val="22"/>
          <w:bdr w:val="none" w:sz="0" w:space="0" w:color="auto"/>
        </w:rPr>
        <w:t xml:space="preserve">To apply you must fill in the following </w:t>
      </w:r>
      <w:hyperlink r:id="rId10" w:history="1">
        <w:r w:rsidRPr="00533113">
          <w:rPr>
            <w:rStyle w:val="Hipervnculo"/>
            <w:rFonts w:ascii="Calibri" w:eastAsia="Calibri" w:hAnsi="Calibri"/>
            <w:sz w:val="22"/>
            <w:szCs w:val="22"/>
            <w:bdr w:val="none" w:sz="0" w:space="0" w:color="auto"/>
          </w:rPr>
          <w:t>form</w:t>
        </w:r>
      </w:hyperlink>
      <w:r>
        <w:rPr>
          <w:rFonts w:ascii="Calibri" w:eastAsia="Calibri" w:hAnsi="Calibri"/>
          <w:sz w:val="22"/>
          <w:szCs w:val="22"/>
          <w:bdr w:val="none" w:sz="0" w:space="0" w:color="auto"/>
        </w:rPr>
        <w:t xml:space="preserve"> and upload all the documents listed above. Deadline to apply is</w:t>
      </w:r>
      <w:r w:rsidR="008B0A28" w:rsidRPr="001B15E7">
        <w:rPr>
          <w:rFonts w:ascii="Calibri" w:eastAsia="Calibri" w:hAnsi="Calibri"/>
          <w:sz w:val="22"/>
          <w:szCs w:val="22"/>
          <w:bdr w:val="none" w:sz="0" w:space="0" w:color="auto"/>
        </w:rPr>
        <w:t xml:space="preserve"> </w:t>
      </w:r>
      <w:r w:rsidR="00345775">
        <w:rPr>
          <w:rFonts w:ascii="Calibri" w:eastAsia="Calibri" w:hAnsi="Calibri"/>
          <w:sz w:val="22"/>
          <w:szCs w:val="22"/>
          <w:bdr w:val="none" w:sz="0" w:space="0" w:color="auto"/>
        </w:rPr>
        <w:t>5th</w:t>
      </w:r>
      <w:r w:rsidR="00ED4194">
        <w:rPr>
          <w:rFonts w:ascii="Calibri" w:eastAsia="Calibri" w:hAnsi="Calibri"/>
          <w:sz w:val="22"/>
          <w:szCs w:val="22"/>
          <w:bdr w:val="none" w:sz="0" w:space="0" w:color="auto"/>
        </w:rPr>
        <w:t xml:space="preserve"> </w:t>
      </w:r>
      <w:r w:rsidR="00345775">
        <w:rPr>
          <w:rFonts w:ascii="Calibri" w:eastAsia="Calibri" w:hAnsi="Calibri"/>
          <w:sz w:val="22"/>
          <w:szCs w:val="22"/>
          <w:bdr w:val="none" w:sz="0" w:space="0" w:color="auto"/>
        </w:rPr>
        <w:t>of April, 2020</w:t>
      </w:r>
      <w:r w:rsidR="00040E04" w:rsidRPr="001B15E7">
        <w:rPr>
          <w:rFonts w:ascii="Calibri" w:eastAsia="Calibri" w:hAnsi="Calibri"/>
          <w:sz w:val="22"/>
          <w:szCs w:val="22"/>
          <w:bdr w:val="none" w:sz="0" w:space="0" w:color="auto"/>
        </w:rPr>
        <w:t xml:space="preserve">, midnight Central European Time (CET). </w:t>
      </w:r>
      <w:r w:rsidR="00040E04" w:rsidRPr="001B15E7">
        <w:rPr>
          <w:rFonts w:ascii="Calibri" w:eastAsia="Calibri" w:hAnsi="Calibri"/>
          <w:sz w:val="22"/>
          <w:szCs w:val="22"/>
          <w:u w:val="single"/>
          <w:bdr w:val="none" w:sz="0" w:space="0" w:color="auto"/>
        </w:rPr>
        <w:t>Incomplete or after-the-deadline applications will not be considered.</w:t>
      </w:r>
    </w:p>
    <w:p w14:paraId="0E665E39" w14:textId="20247B25" w:rsidR="004F1C45" w:rsidRPr="004F1C45" w:rsidRDefault="004F1C45" w:rsidP="00040E0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 xml:space="preserve">After the submission of all the required documentation </w:t>
      </w:r>
      <w:r w:rsidR="00F35AAC">
        <w:rPr>
          <w:rFonts w:ascii="Calibri" w:eastAsia="Calibri" w:hAnsi="Calibri"/>
          <w:sz w:val="22"/>
          <w:szCs w:val="22"/>
          <w:bdr w:val="none" w:sz="0" w:space="0" w:color="auto"/>
        </w:rPr>
        <w:t xml:space="preserve">all </w:t>
      </w:r>
      <w:r>
        <w:rPr>
          <w:rFonts w:ascii="Calibri" w:eastAsia="Calibri" w:hAnsi="Calibri"/>
          <w:sz w:val="22"/>
          <w:szCs w:val="22"/>
          <w:bdr w:val="none" w:sz="0" w:space="0" w:color="auto"/>
        </w:rPr>
        <w:t>applicants will be</w:t>
      </w:r>
      <w:r w:rsidR="001B15E7">
        <w:rPr>
          <w:rFonts w:ascii="Calibri" w:eastAsia="Calibri" w:hAnsi="Calibri"/>
          <w:sz w:val="22"/>
          <w:szCs w:val="22"/>
          <w:bdr w:val="none" w:sz="0" w:space="0" w:color="auto"/>
        </w:rPr>
        <w:t xml:space="preserve"> contacted</w:t>
      </w:r>
      <w:r w:rsidR="00E436A0">
        <w:rPr>
          <w:rFonts w:ascii="Calibri" w:eastAsia="Calibri" w:hAnsi="Calibri"/>
          <w:sz w:val="22"/>
          <w:szCs w:val="22"/>
          <w:bdr w:val="none" w:sz="0" w:space="0" w:color="auto"/>
        </w:rPr>
        <w:t xml:space="preserve"> by email</w:t>
      </w:r>
      <w:r w:rsidR="001B15E7">
        <w:rPr>
          <w:rFonts w:ascii="Calibri" w:eastAsia="Calibri" w:hAnsi="Calibri"/>
          <w:sz w:val="22"/>
          <w:szCs w:val="22"/>
          <w:bdr w:val="none" w:sz="0" w:space="0" w:color="auto"/>
        </w:rPr>
        <w:t xml:space="preserve"> and</w:t>
      </w:r>
      <w:r w:rsidR="004F1EA3">
        <w:rPr>
          <w:rFonts w:ascii="Calibri" w:eastAsia="Calibri" w:hAnsi="Calibri"/>
          <w:sz w:val="22"/>
          <w:szCs w:val="22"/>
          <w:bdr w:val="none" w:sz="0" w:space="0" w:color="auto"/>
        </w:rPr>
        <w:t xml:space="preserve"> asked to do an online test on a specific date and time</w:t>
      </w:r>
      <w:r>
        <w:rPr>
          <w:rFonts w:ascii="Calibri" w:eastAsia="Calibri" w:hAnsi="Calibri"/>
          <w:sz w:val="22"/>
          <w:szCs w:val="22"/>
          <w:bdr w:val="none" w:sz="0" w:space="0" w:color="auto"/>
        </w:rPr>
        <w:t xml:space="preserve">. </w:t>
      </w:r>
    </w:p>
    <w:p w14:paraId="16B8ECFC" w14:textId="77777777" w:rsidR="00040E04" w:rsidRPr="00D93C75" w:rsidRDefault="00040E04" w:rsidP="00040E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ascii="Calibri" w:eastAsia="Calibri" w:hAnsi="Calibri"/>
          <w:b/>
          <w:sz w:val="22"/>
          <w:szCs w:val="22"/>
          <w:bdr w:val="none" w:sz="0" w:space="0" w:color="auto"/>
        </w:rPr>
      </w:pPr>
      <w:r w:rsidRPr="00D93C75">
        <w:rPr>
          <w:rFonts w:ascii="Calibri" w:eastAsia="Calibri" w:hAnsi="Calibri"/>
          <w:b/>
          <w:sz w:val="22"/>
          <w:szCs w:val="22"/>
          <w:bdr w:val="none" w:sz="0" w:space="0" w:color="auto"/>
        </w:rPr>
        <w:t xml:space="preserve">Phase II Evaluation of Shortlisted Candidates </w:t>
      </w:r>
    </w:p>
    <w:p w14:paraId="1A05F3EF" w14:textId="6542FD8C" w:rsidR="006212ED" w:rsidRDefault="00040E04" w:rsidP="006212E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sidRPr="00040E04">
        <w:rPr>
          <w:rFonts w:ascii="Calibri" w:eastAsia="Calibri" w:hAnsi="Calibri"/>
          <w:sz w:val="22"/>
          <w:szCs w:val="22"/>
          <w:bdr w:val="none" w:sz="0" w:space="0" w:color="auto"/>
        </w:rPr>
        <w:t xml:space="preserve">Shortlisted candidates will be asked to elaborate a brief essay </w:t>
      </w:r>
      <w:r w:rsidR="00440F34">
        <w:rPr>
          <w:rFonts w:ascii="Calibri" w:eastAsia="Calibri" w:hAnsi="Calibri"/>
          <w:sz w:val="22"/>
          <w:szCs w:val="22"/>
          <w:bdr w:val="none" w:sz="0" w:space="0" w:color="auto"/>
        </w:rPr>
        <w:t xml:space="preserve">(2,000 words max) </w:t>
      </w:r>
      <w:r w:rsidR="00E436A0">
        <w:rPr>
          <w:rFonts w:ascii="Calibri" w:eastAsia="Calibri" w:hAnsi="Calibri"/>
          <w:sz w:val="22"/>
          <w:szCs w:val="22"/>
          <w:bdr w:val="none" w:sz="0" w:space="0" w:color="auto"/>
        </w:rPr>
        <w:t>to be evaluated by</w:t>
      </w:r>
      <w:r w:rsidR="006212ED">
        <w:rPr>
          <w:rFonts w:ascii="Calibri" w:eastAsia="Calibri" w:hAnsi="Calibri"/>
          <w:sz w:val="22"/>
          <w:szCs w:val="22"/>
          <w:bdr w:val="none" w:sz="0" w:space="0" w:color="auto"/>
        </w:rPr>
        <w:t xml:space="preserve"> the Selection Committee.</w:t>
      </w:r>
    </w:p>
    <w:p w14:paraId="4468BB2C" w14:textId="716BCD05" w:rsidR="008B0A28" w:rsidRPr="00D93C75" w:rsidRDefault="008B0A28" w:rsidP="00D93C75">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b/>
          <w:sz w:val="22"/>
          <w:szCs w:val="22"/>
          <w:bdr w:val="none" w:sz="0" w:space="0" w:color="auto"/>
        </w:rPr>
      </w:pPr>
      <w:r w:rsidRPr="00D93C75">
        <w:rPr>
          <w:rFonts w:ascii="Calibri" w:eastAsia="Calibri" w:hAnsi="Calibri"/>
          <w:b/>
          <w:sz w:val="22"/>
          <w:szCs w:val="22"/>
          <w:bdr w:val="none" w:sz="0" w:space="0" w:color="auto"/>
        </w:rPr>
        <w:t>Phase III Final Interview</w:t>
      </w:r>
    </w:p>
    <w:p w14:paraId="4F682E9A" w14:textId="33E85265" w:rsidR="00040E04" w:rsidRPr="008B0A28" w:rsidRDefault="008B0A28" w:rsidP="008B0A2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Calibri" w:eastAsia="Calibri" w:hAnsi="Calibri"/>
          <w:sz w:val="22"/>
          <w:szCs w:val="22"/>
          <w:bdr w:val="none" w:sz="0" w:space="0" w:color="auto"/>
        </w:rPr>
      </w:pPr>
      <w:r>
        <w:rPr>
          <w:rFonts w:ascii="Calibri" w:eastAsia="Calibri" w:hAnsi="Calibri"/>
          <w:sz w:val="22"/>
          <w:szCs w:val="22"/>
          <w:bdr w:val="none" w:sz="0" w:space="0" w:color="auto"/>
        </w:rPr>
        <w:t>Final candidates will be asked to</w:t>
      </w:r>
      <w:r w:rsidR="00D93C75">
        <w:rPr>
          <w:rFonts w:ascii="Calibri" w:eastAsia="Calibri" w:hAnsi="Calibri"/>
          <w:sz w:val="22"/>
          <w:szCs w:val="22"/>
          <w:bdr w:val="none" w:sz="0" w:space="0" w:color="auto"/>
        </w:rPr>
        <w:t xml:space="preserve"> elaborate a Power</w:t>
      </w:r>
      <w:r w:rsidR="00E436A0">
        <w:rPr>
          <w:rFonts w:ascii="Calibri" w:eastAsia="Calibri" w:hAnsi="Calibri"/>
          <w:sz w:val="22"/>
          <w:szCs w:val="22"/>
          <w:bdr w:val="none" w:sz="0" w:space="0" w:color="auto"/>
        </w:rPr>
        <w:t xml:space="preserve"> Point p</w:t>
      </w:r>
      <w:r w:rsidR="00D93C75">
        <w:rPr>
          <w:rFonts w:ascii="Calibri" w:eastAsia="Calibri" w:hAnsi="Calibri"/>
          <w:sz w:val="22"/>
          <w:szCs w:val="22"/>
          <w:bdr w:val="none" w:sz="0" w:space="0" w:color="auto"/>
        </w:rPr>
        <w:t>resentation and</w:t>
      </w:r>
      <w:r>
        <w:rPr>
          <w:rFonts w:ascii="Calibri" w:eastAsia="Calibri" w:hAnsi="Calibri"/>
          <w:sz w:val="22"/>
          <w:szCs w:val="22"/>
          <w:bdr w:val="none" w:sz="0" w:space="0" w:color="auto"/>
        </w:rPr>
        <w:t xml:space="preserve"> </w:t>
      </w:r>
      <w:r w:rsidR="00040E04" w:rsidRPr="008B0A28">
        <w:rPr>
          <w:rFonts w:ascii="Calibri" w:eastAsia="Calibri" w:hAnsi="Calibri"/>
          <w:sz w:val="22"/>
          <w:szCs w:val="22"/>
          <w:bdr w:val="none" w:sz="0" w:space="0" w:color="auto"/>
        </w:rPr>
        <w:t>have an interview via skype</w:t>
      </w:r>
      <w:r w:rsidR="006212ED">
        <w:rPr>
          <w:rFonts w:ascii="Calibri" w:eastAsia="Calibri" w:hAnsi="Calibri"/>
          <w:sz w:val="22"/>
          <w:szCs w:val="22"/>
          <w:bdr w:val="none" w:sz="0" w:space="0" w:color="auto"/>
        </w:rPr>
        <w:t xml:space="preserve"> with the Selection C</w:t>
      </w:r>
      <w:r w:rsidR="00040E04" w:rsidRPr="008B0A28">
        <w:rPr>
          <w:rFonts w:ascii="Calibri" w:eastAsia="Calibri" w:hAnsi="Calibri"/>
          <w:sz w:val="22"/>
          <w:szCs w:val="22"/>
          <w:bdr w:val="none" w:sz="0" w:space="0" w:color="auto"/>
        </w:rPr>
        <w:t>ommittee.</w:t>
      </w:r>
      <w:bookmarkStart w:id="0" w:name="_GoBack"/>
      <w:bookmarkEnd w:id="0"/>
    </w:p>
    <w:p w14:paraId="37017FAF" w14:textId="77777777" w:rsidR="00DF1B1B" w:rsidRPr="00040E04" w:rsidRDefault="00DF1B1B" w:rsidP="00DF1B1B">
      <w:pPr>
        <w:pStyle w:val="Poromisin"/>
        <w:spacing w:after="160" w:line="300" w:lineRule="exact"/>
        <w:ind w:right="522"/>
        <w:rPr>
          <w:rFonts w:ascii="Times New Roman"/>
          <w:lang w:val="en-US"/>
        </w:rPr>
      </w:pPr>
    </w:p>
    <w:sectPr w:rsidR="00DF1B1B" w:rsidRPr="00040E04" w:rsidSect="009A126E">
      <w:headerReference w:type="even" r:id="rId11"/>
      <w:headerReference w:type="default" r:id="rId12"/>
      <w:pgSz w:w="11906" w:h="16838"/>
      <w:pgMar w:top="1440" w:right="1080" w:bottom="1440" w:left="108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B3B09" w14:textId="77777777" w:rsidR="00DA0CDA" w:rsidRDefault="00DA0CDA">
      <w:r>
        <w:separator/>
      </w:r>
    </w:p>
  </w:endnote>
  <w:endnote w:type="continuationSeparator" w:id="0">
    <w:p w14:paraId="3A40F5B2" w14:textId="77777777" w:rsidR="00DA0CDA" w:rsidRDefault="00DA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Arial"/>
    <w:charset w:val="00"/>
    <w:family w:val="auto"/>
    <w:pitch w:val="variable"/>
    <w:sig w:usb0="E1001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9481E" w14:textId="77777777" w:rsidR="00DA0CDA" w:rsidRDefault="00DA0CDA">
      <w:r>
        <w:separator/>
      </w:r>
    </w:p>
  </w:footnote>
  <w:footnote w:type="continuationSeparator" w:id="0">
    <w:p w14:paraId="758CA321" w14:textId="77777777" w:rsidR="00DA0CDA" w:rsidRDefault="00DA0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602EC" w14:textId="77777777" w:rsidR="00DA0CDA" w:rsidRPr="009875E3" w:rsidRDefault="00533113">
    <w:pPr>
      <w:pStyle w:val="Encabezado"/>
      <w:rPr>
        <w:lang w:val="es-ES"/>
      </w:rPr>
    </w:pPr>
    <w:sdt>
      <w:sdtPr>
        <w:id w:val="171999623"/>
        <w:placeholder>
          <w:docPart w:val="930E9D462ACCA7489F8D590BC8FFC978"/>
        </w:placeholder>
        <w:temporary/>
        <w:showingPlcHdr/>
      </w:sdtPr>
      <w:sdtEndPr/>
      <w:sdtContent>
        <w:r w:rsidR="00DA0CDA">
          <w:rPr>
            <w:lang w:val="es-ES"/>
          </w:rPr>
          <w:t>[Escriba texto]</w:t>
        </w:r>
      </w:sdtContent>
    </w:sdt>
    <w:r w:rsidR="00DA0CDA">
      <w:ptab w:relativeTo="margin" w:alignment="center" w:leader="none"/>
    </w:r>
    <w:sdt>
      <w:sdtPr>
        <w:id w:val="171999624"/>
        <w:placeholder>
          <w:docPart w:val="E3128B8A77F6D24691C687A54D4836B5"/>
        </w:placeholder>
        <w:temporary/>
        <w:showingPlcHdr/>
      </w:sdtPr>
      <w:sdtEndPr/>
      <w:sdtContent>
        <w:r w:rsidR="00DA0CDA">
          <w:rPr>
            <w:lang w:val="es-ES"/>
          </w:rPr>
          <w:t>[Escriba texto]</w:t>
        </w:r>
      </w:sdtContent>
    </w:sdt>
    <w:r w:rsidR="00DA0CDA">
      <w:ptab w:relativeTo="margin" w:alignment="right" w:leader="none"/>
    </w:r>
    <w:sdt>
      <w:sdtPr>
        <w:id w:val="171999625"/>
        <w:placeholder>
          <w:docPart w:val="C0EAA47732F7BF45A3EB29940E969977"/>
        </w:placeholder>
        <w:temporary/>
        <w:showingPlcHdr/>
      </w:sdtPr>
      <w:sdtEndPr/>
      <w:sdtContent>
        <w:r w:rsidR="00DA0CDA">
          <w:rPr>
            <w:lang w:val="es-ES"/>
          </w:rPr>
          <w:t>[Escriba texto]</w:t>
        </w:r>
      </w:sdtContent>
    </w:sdt>
  </w:p>
  <w:p w14:paraId="342AEBCE" w14:textId="77777777" w:rsidR="00DA0CDA" w:rsidRPr="009875E3" w:rsidRDefault="00DA0CDA">
    <w:pPr>
      <w:pStyle w:val="Encabezado"/>
      <w:rPr>
        <w:lang w:val="es-E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E6B5" w14:textId="77777777" w:rsidR="00DA0CDA" w:rsidRDefault="00DA0CDA">
    <w:pPr>
      <w:pStyle w:val="Encabezado"/>
    </w:pPr>
    <w:r>
      <w:rPr>
        <w:noProof/>
        <w:lang w:val="es-ES" w:eastAsia="es-ES"/>
      </w:rPr>
      <w:drawing>
        <wp:anchor distT="0" distB="0" distL="114300" distR="114300" simplePos="0" relativeHeight="251658240" behindDoc="1" locked="0" layoutInCell="1" allowOverlap="1" wp14:anchorId="70B04E2B" wp14:editId="2A5B3CDC">
          <wp:simplePos x="0" y="0"/>
          <wp:positionH relativeFrom="column">
            <wp:posOffset>-611868</wp:posOffset>
          </wp:positionH>
          <wp:positionV relativeFrom="paragraph">
            <wp:posOffset>-447675</wp:posOffset>
          </wp:positionV>
          <wp:extent cx="7581899" cy="10716077"/>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losbermudez:Desktop:lgobla:LOGOS_cast:Logos isglobal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160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3D44"/>
    <w:multiLevelType w:val="hybridMultilevel"/>
    <w:tmpl w:val="1B4477B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066646"/>
    <w:multiLevelType w:val="hybridMultilevel"/>
    <w:tmpl w:val="0F3E1448"/>
    <w:lvl w:ilvl="0" w:tplc="0C0A000F">
      <w:start w:val="1"/>
      <w:numFmt w:val="decimal"/>
      <w:lvlText w:val="%1."/>
      <w:lvlJc w:val="left"/>
      <w:pPr>
        <w:ind w:left="720" w:hanging="360"/>
      </w:pPr>
      <w:rPr>
        <w:rFonts w:cs="Times New Roman" w:hint="default"/>
      </w:rPr>
    </w:lvl>
    <w:lvl w:ilvl="1" w:tplc="F2A0644C">
      <w:numFmt w:val="bullet"/>
      <w:lvlText w:val="•"/>
      <w:lvlJc w:val="left"/>
      <w:pPr>
        <w:ind w:left="1770" w:hanging="690"/>
      </w:pPr>
      <w:rPr>
        <w:rFonts w:ascii="Franklin Gothic Book" w:eastAsia="Batang" w:hAnsi="Franklin Gothic Book" w:hint="default"/>
      </w:rPr>
    </w:lvl>
    <w:lvl w:ilvl="2" w:tplc="697885E6">
      <w:start w:val="1"/>
      <w:numFmt w:val="decimal"/>
      <w:lvlText w:val="%3)"/>
      <w:lvlJc w:val="left"/>
      <w:pPr>
        <w:ind w:left="2940" w:hanging="960"/>
      </w:pPr>
      <w:rPr>
        <w:rFonts w:cs="Times New Roman" w:hint="default"/>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1F6F1880"/>
    <w:multiLevelType w:val="hybridMultilevel"/>
    <w:tmpl w:val="172C52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2E0331"/>
    <w:multiLevelType w:val="hybridMultilevel"/>
    <w:tmpl w:val="1F5C67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30DC37B3"/>
    <w:multiLevelType w:val="hybridMultilevel"/>
    <w:tmpl w:val="038446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5070456"/>
    <w:multiLevelType w:val="multilevel"/>
    <w:tmpl w:val="1E86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4540C"/>
    <w:multiLevelType w:val="hybridMultilevel"/>
    <w:tmpl w:val="DFFED436"/>
    <w:lvl w:ilvl="0" w:tplc="6E2CF230">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6A"/>
    <w:rsid w:val="00040E04"/>
    <w:rsid w:val="000F5F23"/>
    <w:rsid w:val="001011F5"/>
    <w:rsid w:val="0014106A"/>
    <w:rsid w:val="0019735E"/>
    <w:rsid w:val="001B15E7"/>
    <w:rsid w:val="001B4A74"/>
    <w:rsid w:val="0025390D"/>
    <w:rsid w:val="002A6016"/>
    <w:rsid w:val="002D3408"/>
    <w:rsid w:val="002F2D4B"/>
    <w:rsid w:val="00345775"/>
    <w:rsid w:val="003769F7"/>
    <w:rsid w:val="003A32E0"/>
    <w:rsid w:val="003D556E"/>
    <w:rsid w:val="00440F34"/>
    <w:rsid w:val="004B41DF"/>
    <w:rsid w:val="004B69E4"/>
    <w:rsid w:val="004C717C"/>
    <w:rsid w:val="004E2959"/>
    <w:rsid w:val="004F1C45"/>
    <w:rsid w:val="004F1EA3"/>
    <w:rsid w:val="00533113"/>
    <w:rsid w:val="005760D8"/>
    <w:rsid w:val="00577DE5"/>
    <w:rsid w:val="00590FA7"/>
    <w:rsid w:val="005A3CF4"/>
    <w:rsid w:val="005C3D1C"/>
    <w:rsid w:val="005D0797"/>
    <w:rsid w:val="006212ED"/>
    <w:rsid w:val="006239F3"/>
    <w:rsid w:val="00631019"/>
    <w:rsid w:val="0065129A"/>
    <w:rsid w:val="00662F94"/>
    <w:rsid w:val="006B1525"/>
    <w:rsid w:val="00734400"/>
    <w:rsid w:val="00761141"/>
    <w:rsid w:val="0076741C"/>
    <w:rsid w:val="007C0A4B"/>
    <w:rsid w:val="00802015"/>
    <w:rsid w:val="00884372"/>
    <w:rsid w:val="008B0A28"/>
    <w:rsid w:val="0090529E"/>
    <w:rsid w:val="00917CE1"/>
    <w:rsid w:val="009672B0"/>
    <w:rsid w:val="009875E3"/>
    <w:rsid w:val="009A126E"/>
    <w:rsid w:val="009C7AE3"/>
    <w:rsid w:val="009F0312"/>
    <w:rsid w:val="00A065C4"/>
    <w:rsid w:val="00A137B4"/>
    <w:rsid w:val="00A27FFD"/>
    <w:rsid w:val="00A60A6A"/>
    <w:rsid w:val="00B378B7"/>
    <w:rsid w:val="00B41AD0"/>
    <w:rsid w:val="00B938B7"/>
    <w:rsid w:val="00BE4C90"/>
    <w:rsid w:val="00C101EC"/>
    <w:rsid w:val="00C16018"/>
    <w:rsid w:val="00C67E24"/>
    <w:rsid w:val="00C822FB"/>
    <w:rsid w:val="00C876D4"/>
    <w:rsid w:val="00CA3D3E"/>
    <w:rsid w:val="00CF2F3F"/>
    <w:rsid w:val="00D35662"/>
    <w:rsid w:val="00D93C75"/>
    <w:rsid w:val="00DA0CDA"/>
    <w:rsid w:val="00DD637C"/>
    <w:rsid w:val="00DE61CB"/>
    <w:rsid w:val="00DE77FE"/>
    <w:rsid w:val="00DF1B1B"/>
    <w:rsid w:val="00E428D6"/>
    <w:rsid w:val="00E436A0"/>
    <w:rsid w:val="00E57213"/>
    <w:rsid w:val="00E82761"/>
    <w:rsid w:val="00EC7770"/>
    <w:rsid w:val="00ED4194"/>
    <w:rsid w:val="00EF4E5A"/>
    <w:rsid w:val="00F21243"/>
    <w:rsid w:val="00F328F9"/>
    <w:rsid w:val="00F35AAC"/>
    <w:rsid w:val="00FB30E7"/>
    <w:rsid w:val="00FD14A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C63417"/>
  <w15:docId w15:val="{B6805CBE-E978-47B6-B7A8-17623312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Helvetica" w:hAnsi="Arial Unicode MS" w:cs="Arial Unicode MS"/>
      <w:color w:val="000000"/>
      <w:sz w:val="22"/>
      <w:szCs w:val="22"/>
    </w:rPr>
  </w:style>
  <w:style w:type="paragraph" w:styleId="Textodeglobo">
    <w:name w:val="Balloon Text"/>
    <w:basedOn w:val="Normal"/>
    <w:link w:val="TextodegloboCar"/>
    <w:uiPriority w:val="99"/>
    <w:semiHidden/>
    <w:unhideWhenUsed/>
    <w:rsid w:val="002A601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2A6016"/>
    <w:rPr>
      <w:rFonts w:ascii="Lucida Grande" w:hAnsi="Lucida Grande"/>
      <w:sz w:val="18"/>
      <w:szCs w:val="18"/>
      <w:lang w:val="en-US" w:eastAsia="en-US"/>
    </w:rPr>
  </w:style>
  <w:style w:type="paragraph" w:styleId="Encabezado">
    <w:name w:val="header"/>
    <w:basedOn w:val="Normal"/>
    <w:link w:val="EncabezadoCar"/>
    <w:uiPriority w:val="99"/>
    <w:unhideWhenUsed/>
    <w:rsid w:val="002A6016"/>
    <w:pPr>
      <w:tabs>
        <w:tab w:val="center" w:pos="4252"/>
        <w:tab w:val="right" w:pos="8504"/>
      </w:tabs>
    </w:pPr>
  </w:style>
  <w:style w:type="character" w:customStyle="1" w:styleId="EncabezadoCar">
    <w:name w:val="Encabezado Car"/>
    <w:basedOn w:val="Fuentedeprrafopredeter"/>
    <w:link w:val="Encabezado"/>
    <w:uiPriority w:val="99"/>
    <w:rsid w:val="002A6016"/>
    <w:rPr>
      <w:sz w:val="24"/>
      <w:szCs w:val="24"/>
      <w:lang w:val="en-US" w:eastAsia="en-US"/>
    </w:rPr>
  </w:style>
  <w:style w:type="paragraph" w:styleId="Piedepgina">
    <w:name w:val="footer"/>
    <w:basedOn w:val="Normal"/>
    <w:link w:val="PiedepginaCar"/>
    <w:uiPriority w:val="99"/>
    <w:unhideWhenUsed/>
    <w:rsid w:val="002A6016"/>
    <w:pPr>
      <w:tabs>
        <w:tab w:val="center" w:pos="4252"/>
        <w:tab w:val="right" w:pos="8504"/>
      </w:tabs>
    </w:pPr>
  </w:style>
  <w:style w:type="character" w:customStyle="1" w:styleId="PiedepginaCar">
    <w:name w:val="Pie de página Car"/>
    <w:basedOn w:val="Fuentedeprrafopredeter"/>
    <w:link w:val="Piedepgina"/>
    <w:uiPriority w:val="99"/>
    <w:rsid w:val="002A6016"/>
    <w:rPr>
      <w:sz w:val="24"/>
      <w:szCs w:val="24"/>
      <w:lang w:val="en-US" w:eastAsia="en-US"/>
    </w:rPr>
  </w:style>
  <w:style w:type="table" w:styleId="Tablaconcuadrcula">
    <w:name w:val="Table Grid"/>
    <w:basedOn w:val="Tablanormal"/>
    <w:uiPriority w:val="59"/>
    <w:rsid w:val="00040E0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B0A28"/>
    <w:pPr>
      <w:ind w:left="720"/>
      <w:contextualSpacing/>
    </w:pPr>
  </w:style>
  <w:style w:type="paragraph" w:styleId="NormalWeb">
    <w:name w:val="Normal (Web)"/>
    <w:basedOn w:val="Normal"/>
    <w:uiPriority w:val="99"/>
    <w:semiHidden/>
    <w:unhideWhenUsed/>
    <w:rsid w:val="00DD63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30115">
      <w:bodyDiv w:val="1"/>
      <w:marLeft w:val="0"/>
      <w:marRight w:val="0"/>
      <w:marTop w:val="0"/>
      <w:marBottom w:val="0"/>
      <w:divBdr>
        <w:top w:val="none" w:sz="0" w:space="0" w:color="auto"/>
        <w:left w:val="none" w:sz="0" w:space="0" w:color="auto"/>
        <w:bottom w:val="none" w:sz="0" w:space="0" w:color="auto"/>
        <w:right w:val="none" w:sz="0" w:space="0" w:color="auto"/>
      </w:divBdr>
    </w:div>
    <w:div w:id="1410149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sglobal.org/en/-/master-en-investigacion-clinica-especialidad-salud-internacion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sglobal.org/scholarship-programme" TargetMode="External"/><Relationship Id="rId4" Type="http://schemas.openxmlformats.org/officeDocument/2006/relationships/settings" Target="settings.xml"/><Relationship Id="rId9" Type="http://schemas.openxmlformats.org/officeDocument/2006/relationships/hyperlink" Target="https://www.isglobal.org/en/-/master-en-investigacion-clinica-especialidad-salud-internacional"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0E9D462ACCA7489F8D590BC8FFC978"/>
        <w:category>
          <w:name w:val="General"/>
          <w:gallery w:val="placeholder"/>
        </w:category>
        <w:types>
          <w:type w:val="bbPlcHdr"/>
        </w:types>
        <w:behaviors>
          <w:behavior w:val="content"/>
        </w:behaviors>
        <w:guid w:val="{470AD7A7-F685-174F-A0D4-9B8EB076B877}"/>
      </w:docPartPr>
      <w:docPartBody>
        <w:p w:rsidR="000C663D" w:rsidRDefault="00490A00" w:rsidP="00490A00">
          <w:pPr>
            <w:pStyle w:val="930E9D462ACCA7489F8D590BC8FFC978"/>
          </w:pPr>
          <w:r>
            <w:t>[Escriba texto]</w:t>
          </w:r>
        </w:p>
      </w:docPartBody>
    </w:docPart>
    <w:docPart>
      <w:docPartPr>
        <w:name w:val="E3128B8A77F6D24691C687A54D4836B5"/>
        <w:category>
          <w:name w:val="General"/>
          <w:gallery w:val="placeholder"/>
        </w:category>
        <w:types>
          <w:type w:val="bbPlcHdr"/>
        </w:types>
        <w:behaviors>
          <w:behavior w:val="content"/>
        </w:behaviors>
        <w:guid w:val="{1271A167-FD43-2746-9A8F-95D1928AD5EF}"/>
      </w:docPartPr>
      <w:docPartBody>
        <w:p w:rsidR="000C663D" w:rsidRDefault="00490A00" w:rsidP="00490A00">
          <w:pPr>
            <w:pStyle w:val="E3128B8A77F6D24691C687A54D4836B5"/>
          </w:pPr>
          <w:r>
            <w:t>[Escriba texto]</w:t>
          </w:r>
        </w:p>
      </w:docPartBody>
    </w:docPart>
    <w:docPart>
      <w:docPartPr>
        <w:name w:val="C0EAA47732F7BF45A3EB29940E969977"/>
        <w:category>
          <w:name w:val="General"/>
          <w:gallery w:val="placeholder"/>
        </w:category>
        <w:types>
          <w:type w:val="bbPlcHdr"/>
        </w:types>
        <w:behaviors>
          <w:behavior w:val="content"/>
        </w:behaviors>
        <w:guid w:val="{808ECF76-43B6-DC4B-BCE4-18D25EBA3477}"/>
      </w:docPartPr>
      <w:docPartBody>
        <w:p w:rsidR="000C663D" w:rsidRDefault="00490A00" w:rsidP="00490A00">
          <w:pPr>
            <w:pStyle w:val="C0EAA47732F7BF45A3EB29940E969977"/>
          </w:pPr>
          <w: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Arial"/>
    <w:charset w:val="00"/>
    <w:family w:val="auto"/>
    <w:pitch w:val="variable"/>
    <w:sig w:usb0="E1001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00"/>
    <w:rsid w:val="000C663D"/>
    <w:rsid w:val="00490A00"/>
    <w:rsid w:val="00E4014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30E9D462ACCA7489F8D590BC8FFC978">
    <w:name w:val="930E9D462ACCA7489F8D590BC8FFC978"/>
    <w:rsid w:val="00490A00"/>
  </w:style>
  <w:style w:type="paragraph" w:customStyle="1" w:styleId="E3128B8A77F6D24691C687A54D4836B5">
    <w:name w:val="E3128B8A77F6D24691C687A54D4836B5"/>
    <w:rsid w:val="00490A00"/>
  </w:style>
  <w:style w:type="paragraph" w:customStyle="1" w:styleId="C0EAA47732F7BF45A3EB29940E969977">
    <w:name w:val="C0EAA47732F7BF45A3EB29940E969977"/>
    <w:rsid w:val="00490A00"/>
  </w:style>
  <w:style w:type="paragraph" w:customStyle="1" w:styleId="98FEE956F9139546AE210D2836C5A059">
    <w:name w:val="98FEE956F9139546AE210D2836C5A059"/>
    <w:rsid w:val="00490A00"/>
  </w:style>
  <w:style w:type="paragraph" w:customStyle="1" w:styleId="478E823390826C4B93D922690418EB1C">
    <w:name w:val="478E823390826C4B93D922690418EB1C"/>
    <w:rsid w:val="00490A00"/>
  </w:style>
  <w:style w:type="paragraph" w:customStyle="1" w:styleId="FE7BA7782F2F9841BA9D7470ABA5F557">
    <w:name w:val="FE7BA7782F2F9841BA9D7470ABA5F557"/>
    <w:rsid w:val="00490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FD12E-351B-442E-A962-B89722EB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686</Words>
  <Characters>3774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TALLADA, JOAN</dc:creator>
  <cp:lastModifiedBy>LOLA, JOVER SALA</cp:lastModifiedBy>
  <cp:revision>9</cp:revision>
  <cp:lastPrinted>2017-02-20T12:22:00Z</cp:lastPrinted>
  <dcterms:created xsi:type="dcterms:W3CDTF">2020-01-14T14:48:00Z</dcterms:created>
  <dcterms:modified xsi:type="dcterms:W3CDTF">2020-02-14T12:14:00Z</dcterms:modified>
</cp:coreProperties>
</file>